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185"/>
        <w:gridCol w:w="5677"/>
      </w:tblGrid>
      <w:tr w:rsidR="00083F99" w:rsidRPr="00083F99" w:rsidTr="00083F99">
        <w:trPr>
          <w:tblCellSpacing w:w="0" w:type="dxa"/>
        </w:trPr>
        <w:tc>
          <w:tcPr>
            <w:tcW w:w="3185" w:type="dxa"/>
            <w:shd w:val="clear" w:color="auto" w:fill="FFFFFF"/>
            <w:tcMar>
              <w:top w:w="0" w:type="dxa"/>
              <w:left w:w="108" w:type="dxa"/>
              <w:bottom w:w="0" w:type="dxa"/>
              <w:right w:w="108" w:type="dxa"/>
            </w:tcMar>
            <w:hideMark/>
          </w:tcPr>
          <w:p w:rsidR="00083F99" w:rsidRPr="00083F99" w:rsidRDefault="00083F99" w:rsidP="000E4702">
            <w:pPr>
              <w:spacing w:after="0" w:line="240" w:lineRule="auto"/>
              <w:jc w:val="center"/>
              <w:rPr>
                <w:rFonts w:eastAsia="Times New Roman" w:cs="Times New Roman"/>
                <w:color w:val="000000"/>
                <w:sz w:val="26"/>
                <w:szCs w:val="26"/>
              </w:rPr>
            </w:pPr>
            <w:r w:rsidRPr="00083F99">
              <w:rPr>
                <w:rFonts w:eastAsia="Times New Roman" w:cs="Times New Roman"/>
                <w:b/>
                <w:bCs/>
                <w:color w:val="000000"/>
                <w:sz w:val="26"/>
                <w:szCs w:val="26"/>
              </w:rPr>
              <w:t>ỦY BAN NHÂN DÂN</w:t>
            </w:r>
            <w:r w:rsidRPr="00083F99">
              <w:rPr>
                <w:rFonts w:eastAsia="Times New Roman" w:cs="Times New Roman"/>
                <w:b/>
                <w:bCs/>
                <w:color w:val="000000"/>
                <w:sz w:val="26"/>
                <w:szCs w:val="26"/>
              </w:rPr>
              <w:br/>
              <w:t>TỈNH QUẢNG NINH</w:t>
            </w:r>
            <w:r w:rsidRPr="00083F99">
              <w:rPr>
                <w:rFonts w:eastAsia="Times New Roman" w:cs="Times New Roman"/>
                <w:b/>
                <w:bCs/>
                <w:color w:val="000000"/>
                <w:sz w:val="26"/>
                <w:szCs w:val="26"/>
              </w:rPr>
              <w:br/>
              <w:t>-------</w:t>
            </w:r>
          </w:p>
        </w:tc>
        <w:tc>
          <w:tcPr>
            <w:tcW w:w="5677" w:type="dxa"/>
            <w:shd w:val="clear" w:color="auto" w:fill="FFFFFF"/>
            <w:tcMar>
              <w:top w:w="0" w:type="dxa"/>
              <w:left w:w="108" w:type="dxa"/>
              <w:bottom w:w="0" w:type="dxa"/>
              <w:right w:w="108" w:type="dxa"/>
            </w:tcMar>
            <w:hideMark/>
          </w:tcPr>
          <w:p w:rsidR="00083F99" w:rsidRPr="00083F99" w:rsidRDefault="00083F99" w:rsidP="000E4702">
            <w:pPr>
              <w:spacing w:after="0" w:line="240" w:lineRule="auto"/>
              <w:jc w:val="center"/>
              <w:rPr>
                <w:rFonts w:eastAsia="Times New Roman" w:cs="Times New Roman"/>
                <w:color w:val="000000"/>
                <w:sz w:val="26"/>
                <w:szCs w:val="26"/>
              </w:rPr>
            </w:pPr>
            <w:r w:rsidRPr="00083F99">
              <w:rPr>
                <w:rFonts w:eastAsia="Times New Roman" w:cs="Times New Roman"/>
                <w:b/>
                <w:bCs/>
                <w:color w:val="000000"/>
                <w:sz w:val="26"/>
                <w:szCs w:val="26"/>
              </w:rPr>
              <w:t>CỘNG HÒA XÃ HỘI CHỦ NGHĨA VIỆT NAM</w:t>
            </w:r>
            <w:r w:rsidRPr="00083F99">
              <w:rPr>
                <w:rFonts w:eastAsia="Times New Roman" w:cs="Times New Roman"/>
                <w:b/>
                <w:bCs/>
                <w:color w:val="000000"/>
                <w:sz w:val="26"/>
                <w:szCs w:val="26"/>
              </w:rPr>
              <w:br/>
              <w:t>Độc lập - Tự do - Hạnh phúc</w:t>
            </w:r>
            <w:r w:rsidRPr="00083F99">
              <w:rPr>
                <w:rFonts w:eastAsia="Times New Roman" w:cs="Times New Roman"/>
                <w:b/>
                <w:bCs/>
                <w:color w:val="000000"/>
                <w:sz w:val="26"/>
                <w:szCs w:val="26"/>
              </w:rPr>
              <w:br/>
              <w:t>----------------</w:t>
            </w:r>
          </w:p>
        </w:tc>
      </w:tr>
      <w:tr w:rsidR="00083F99" w:rsidRPr="00083F99" w:rsidTr="00083F99">
        <w:trPr>
          <w:tblCellSpacing w:w="0" w:type="dxa"/>
        </w:trPr>
        <w:tc>
          <w:tcPr>
            <w:tcW w:w="3185" w:type="dxa"/>
            <w:shd w:val="clear" w:color="auto" w:fill="FFFFFF"/>
            <w:tcMar>
              <w:top w:w="0" w:type="dxa"/>
              <w:left w:w="108" w:type="dxa"/>
              <w:bottom w:w="0" w:type="dxa"/>
              <w:right w:w="108" w:type="dxa"/>
            </w:tcMar>
            <w:hideMark/>
          </w:tcPr>
          <w:p w:rsidR="00083F99" w:rsidRPr="00083F99" w:rsidRDefault="00083F99" w:rsidP="000E4702">
            <w:pPr>
              <w:spacing w:after="0" w:line="240" w:lineRule="auto"/>
              <w:jc w:val="center"/>
              <w:rPr>
                <w:rFonts w:eastAsia="Times New Roman" w:cs="Times New Roman"/>
                <w:color w:val="000000"/>
                <w:sz w:val="26"/>
                <w:szCs w:val="26"/>
              </w:rPr>
            </w:pPr>
            <w:r w:rsidRPr="00083F99">
              <w:rPr>
                <w:rFonts w:eastAsia="Times New Roman" w:cs="Times New Roman"/>
                <w:color w:val="000000"/>
                <w:sz w:val="26"/>
                <w:szCs w:val="26"/>
              </w:rPr>
              <w:t>Số: 113/KH-UBND</w:t>
            </w:r>
          </w:p>
        </w:tc>
        <w:tc>
          <w:tcPr>
            <w:tcW w:w="5677" w:type="dxa"/>
            <w:shd w:val="clear" w:color="auto" w:fill="FFFFFF"/>
            <w:tcMar>
              <w:top w:w="0" w:type="dxa"/>
              <w:left w:w="108" w:type="dxa"/>
              <w:bottom w:w="0" w:type="dxa"/>
              <w:right w:w="108" w:type="dxa"/>
            </w:tcMar>
            <w:hideMark/>
          </w:tcPr>
          <w:p w:rsidR="00083F99" w:rsidRPr="00083F99" w:rsidRDefault="00083F99" w:rsidP="000E4702">
            <w:pPr>
              <w:spacing w:after="0" w:line="240" w:lineRule="auto"/>
              <w:jc w:val="right"/>
              <w:rPr>
                <w:rFonts w:eastAsia="Times New Roman" w:cs="Times New Roman"/>
                <w:color w:val="000000"/>
                <w:sz w:val="26"/>
                <w:szCs w:val="26"/>
              </w:rPr>
            </w:pPr>
            <w:r w:rsidRPr="00083F99">
              <w:rPr>
                <w:rFonts w:eastAsia="Times New Roman" w:cs="Times New Roman"/>
                <w:i/>
                <w:iCs/>
                <w:color w:val="000000"/>
                <w:sz w:val="26"/>
                <w:szCs w:val="26"/>
              </w:rPr>
              <w:t>Quảng Ninh, ngày 26 tháng 6 năm 2020</w:t>
            </w:r>
          </w:p>
        </w:tc>
      </w:tr>
    </w:tbl>
    <w:p w:rsidR="00083F99" w:rsidRPr="00083F99" w:rsidRDefault="00083F99" w:rsidP="000E4702">
      <w:pPr>
        <w:shd w:val="clear" w:color="auto" w:fill="FFFFFF"/>
        <w:spacing w:after="0" w:line="240" w:lineRule="auto"/>
        <w:rPr>
          <w:rFonts w:eastAsia="Times New Roman" w:cs="Times New Roman"/>
          <w:color w:val="000000"/>
          <w:sz w:val="26"/>
          <w:szCs w:val="26"/>
        </w:rPr>
      </w:pPr>
      <w:r w:rsidRPr="00083F99">
        <w:rPr>
          <w:rFonts w:eastAsia="Times New Roman" w:cs="Times New Roman"/>
          <w:color w:val="000000"/>
          <w:sz w:val="26"/>
          <w:szCs w:val="26"/>
          <w:lang w:val="vi-VN"/>
        </w:rPr>
        <w:t> </w:t>
      </w:r>
    </w:p>
    <w:p w:rsidR="00083F99" w:rsidRPr="00083F99" w:rsidRDefault="00083F99" w:rsidP="000E4702">
      <w:pPr>
        <w:shd w:val="clear" w:color="auto" w:fill="FFFFFF"/>
        <w:spacing w:after="0" w:line="240" w:lineRule="auto"/>
        <w:jc w:val="center"/>
        <w:rPr>
          <w:rFonts w:eastAsia="Times New Roman" w:cs="Times New Roman"/>
          <w:color w:val="000000"/>
          <w:sz w:val="26"/>
          <w:szCs w:val="26"/>
        </w:rPr>
      </w:pPr>
      <w:bookmarkStart w:id="0" w:name="loai_1"/>
      <w:r w:rsidRPr="00083F99">
        <w:rPr>
          <w:rFonts w:eastAsia="Times New Roman" w:cs="Times New Roman"/>
          <w:b/>
          <w:bCs/>
          <w:color w:val="000000"/>
          <w:sz w:val="26"/>
          <w:szCs w:val="26"/>
          <w:lang w:val="vi-VN"/>
        </w:rPr>
        <w:t>KẾ HOẠCH</w:t>
      </w:r>
      <w:bookmarkEnd w:id="0"/>
    </w:p>
    <w:p w:rsidR="00083F99" w:rsidRPr="00083F99" w:rsidRDefault="00083F99" w:rsidP="000E4702">
      <w:pPr>
        <w:shd w:val="clear" w:color="auto" w:fill="FFFFFF"/>
        <w:spacing w:after="0" w:line="240" w:lineRule="auto"/>
        <w:jc w:val="center"/>
        <w:rPr>
          <w:rFonts w:eastAsia="Times New Roman" w:cs="Times New Roman"/>
          <w:color w:val="000000"/>
          <w:sz w:val="26"/>
          <w:szCs w:val="26"/>
        </w:rPr>
      </w:pPr>
      <w:bookmarkStart w:id="1" w:name="loai_1_name"/>
      <w:r w:rsidRPr="00083F99">
        <w:rPr>
          <w:rFonts w:eastAsia="Times New Roman" w:cs="Times New Roman"/>
          <w:color w:val="000000"/>
          <w:sz w:val="26"/>
          <w:szCs w:val="26"/>
          <w:lang w:val="vi-VN"/>
        </w:rPr>
        <w:t>TRIỂN KHAI THỰC HIỆN BỘ QUY TẮC ỨNG XỬ TRÊN ĐỊA BÀN TỈNH QUẢNG NINH</w:t>
      </w:r>
      <w:bookmarkEnd w:id="1"/>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Thực hiện Nghị quyết số 11-NQ/TU ngày 09/3/2018 của Ban Chấp hành Đảng bộ tỉnh Quảng Ninh về xây dựng và phát triển văn hóa, con người Quảng Ninh đáp ứng yêu cầu phát triển bền vững, Ủy ban nhân dân tỉnh đã có Quyết định số 1310/QĐ-UBND ngày 20/4/2020 về việc ban hành Bộ Quy tắc ứng xử trên địa bàn tỉnh Quảng Ninh (sau đây gọi tắt là Bộ Quy tắc). Để đưa các nội dung của Bộ Quy tắc vào áp dụng trong các hoạt động thực tiễn một cách có hiệu quả, Ủy ban nhân dân tỉnh ban hành Kế hoạch triển khai thực hiện Bộ Quy tắc ứng xử trên địa bàn tỉnh Quảng Ninh với các nội dung như sau:</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2" w:name="muc_1"/>
      <w:r w:rsidRPr="00083F99">
        <w:rPr>
          <w:rFonts w:eastAsia="Times New Roman" w:cs="Times New Roman"/>
          <w:b/>
          <w:bCs/>
          <w:color w:val="000000"/>
          <w:sz w:val="26"/>
          <w:szCs w:val="26"/>
          <w:lang w:val="vi-VN"/>
        </w:rPr>
        <w:t>I. MỤC ĐÍCH, YÊU CẦU</w:t>
      </w:r>
      <w:bookmarkEnd w:id="2"/>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1. Bộ Quy tắc ứng xử trên địa bàn tỉnh Quảng Ninh phải được thực hiện thường xuyên, lâu dài và là cẩm nang hướng dẫn cách ứng xử trong gia đình, dòng họ, cộng đồng nơi cư trú, nơi công cộng, trên mạng xã hội; đưa vào cuộc sống các chuẩn mực giá trị đạo đức, văn hóa con người Quảng Ninh năng động, sáng tạo, hào sảng, văn minh, thân thiện qua đó góp phần xây dựng tỉnh Quảng Ninh: Hành chính minh bạch, kinh tế phát triển, văn hóa đặc sắc, xã hội văn minh và người dân hạnh phúc.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2. Bộ Quy tắc được tổ chức thực hiện trên phạm vi toàn tỉnh với sự triển khai đồng bộ của các cấp, các ngành và các địa phương, Mặt trận Tổ quốc và các tổ chức chính trị xã hội, lực lượng vũ trang, các đơn vị có liên quan; đội ngũ cán bộ, công chức, viên chức, người lao động, khách du lịch và nhân dân trên địa bàn toàn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3. Việc triển khai thực hiện Bộ Quy tắc ứng xử trên địa bàn tỉnh Quảng Ninh đảm bảo nghiêm túc, chất lượng, hiệu quả, đúng tiến độ thời gian, trách nhiệm được phân công đồng thời phải gắn với nhiệm vụ công tác chuyên môn của cơ quan, đơn vị.</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4. Công tác tổ chức triển khai, thực hiện phải được duy trì thành nề nếp, thường xuyên, liên tục dưới nhiều hình thức khác nhau, phù hợp với tính chất công việc, phạm vi quản lý của các ngành, các cấp, các địa phương, các đơn vị có liên quan.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3" w:name="muc_2"/>
      <w:r w:rsidRPr="00083F99">
        <w:rPr>
          <w:rFonts w:eastAsia="Times New Roman" w:cs="Times New Roman"/>
          <w:b/>
          <w:bCs/>
          <w:color w:val="000000"/>
          <w:sz w:val="26"/>
          <w:szCs w:val="26"/>
          <w:lang w:val="vi-VN"/>
        </w:rPr>
        <w:t>II. CHỈ TIÊU PHẤN ĐẤU ĐẾN NĂM 2025</w:t>
      </w:r>
      <w:bookmarkEnd w:id="3"/>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lang w:val="vi-VN"/>
        </w:rPr>
        <w:t>1. Giai đoạn 1: Năm 2020 - 2022</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các Sở, ban, ngành, địa phương có văn bản chỉ đạo thực hiện Bộ Quy tắc ứng xử phù hợp với điều kiện thực tế của đơn vị, địa phương ngay sau khi Ủy ban nhân dân tỉnh ban hành Kế hoạch triển khai thực hiện Bộ Quy tắc ứng xử trên địa bàn tỉnh Quảng Ninh.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cán bộ, đảng viên, công chức, viên chức, người lao động, học sinh, sinh viên được quán triệt, tuyên truyền, phổ biến, học tập các vấn đề liên quan đến ứng xử trong cộng đồng, nơi cộng cộng, trên mạng xã hội.</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cơ quan, đơn vị, trường học, địa phương tổ chức chương trình phát động và ký cam kết thi đua trong việc thực hiện Bộ Quy tắc (riêng cấp huyện hoàn thành trong Quý I/2021).</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Từ năm 2021, 100% cơ quan, đơn vị, trường học, địa phương đưa nội dung của Bộ Quy tắc ứng xử vào chương trình, kế hoạch, công tác hàng năm và coi đây là một trong những tiêu chí đánh giá kết quả thực hiện phong trào thi đua.</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lastRenderedPageBreak/>
        <w:t>- Có ít nhất 80% các cơ quan, công sở, trường học, công viên, quảng trường, nhà ga, bến xe, nhà văn hóa xã, phường, thị trấn, thôn, khu phố,...niêm yết trích dẫn một phần (hoặc toàn phần) Bộ Quy tắc, tuyên truyền nội dung Bộ Quy tắc ứng xử.</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Có ít nhất 80% cơ quan, đơn vị, trường học, địa phương gắn nội dung của Bộ Quy tắc vào các cuộc thi, chương trình tập huấn, các phong trào và chương trình có liên quan để tuyên truyền nội dung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Có ít nhất 80% cơ quan, đơn vị, trường học, địa phương, cơ sở kinh doanh du lịch, khu dân cư tiêu biểu xây dựng mô hình mẫu trong việc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lang w:val="vi-VN"/>
        </w:rPr>
        <w:t>2. Giai đoạn 2: Năm 2023 - 2025</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các cơ quan, công sở, trường học, công viên, quảng trường, nhà ga, bến xe, nhà văn hóa xã, phường, thị trấn, thôn, khu phố,...niêm yết trích dẫn một phần (hoặc toàn phần) Bộ Quy tắc, tuyên truyền nội dung Bộ Quy tắc ứng xử.</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cơ quan, đơn vị, trường học, địa phương gắn nội dung của Bộ Quy tắc vào các cuộc thi, chương trình tập huấn, các phong trào và chương trình có liên quan để tuyên truyền nội dung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- 100% cơ quan, đơn vị, trường học, địa phương, cơ sở kinh doanh du lịch, khu dân cư tiêu biểu có mô hình mẫu trong việc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4" w:name="muc_3"/>
      <w:r w:rsidRPr="00083F99">
        <w:rPr>
          <w:rFonts w:eastAsia="Times New Roman" w:cs="Times New Roman"/>
          <w:b/>
          <w:bCs/>
          <w:color w:val="000000"/>
          <w:sz w:val="26"/>
          <w:szCs w:val="26"/>
          <w:lang w:val="vi-VN"/>
        </w:rPr>
        <w:t>III. NỘI DUNG THỰC HIỆN</w:t>
      </w:r>
      <w:bookmarkEnd w:id="4"/>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5" w:name="dieu_1"/>
      <w:r w:rsidRPr="00083F99">
        <w:rPr>
          <w:rFonts w:eastAsia="Times New Roman" w:cs="Times New Roman"/>
          <w:b/>
          <w:bCs/>
          <w:color w:val="000000"/>
          <w:sz w:val="26"/>
          <w:szCs w:val="26"/>
          <w:lang w:val="vi-VN"/>
        </w:rPr>
        <w:t>1. Công tác tuyên truyền</w:t>
      </w:r>
      <w:bookmarkEnd w:id="5"/>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1.1. Tuyên truyền Bộ Quy tắc trên các phương tiện thông tin đại chúng: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Tuyên truyền rộng rãi trên các phương tiện thông tin đại chúng trong và ngoài tỉnh, trên các trang mạng xã hội, cổng thông tin điện tử tỉnh Quảng Ninh, cổng thông tin điện tử thành phần của các sở, ban, ngành, địa phương, thông qua dịch vụ gửi tin nhắn của một số mạng điện thoại di động, smartphone, máy tính bảng, các web-site của các doanh nghiệp kinh doanh du lịch trên địa bàn tỉnh, tại các bến cảng, nhà ga, các cửa khẩu trên địa bàn tỉnh; trên đài truyền thanh, truyền hình các huyện, thị xã, thành phố, trên hệ thống loa truyền thanh cấp xã.</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Mở các chuyên trang, chuyên mục, chương trình riêng để thực hiện các chuyên đề, đối thoại, tọa đàm, giao lưu trực tuyến, hỏi và đáp trực tuyến nhằm cập nhật thông tin cần thiết một cách kịp thời, chính xác tới người dân; xây dựng các video clip, phim ngắn thông tin dưới dạng đồ họa, banner ảnh tĩnh, biểu ngữ cổ động... để tuyên truyền trên Đài, báo, các báo điện tử có lượng người xem lớn.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1.2. Tuyên truyền Bộ Quy tắc thông qua cổ động trực quan: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Thiết kế, hình ảnh hóa một số nội dung dưới dạng biển hiệu để gắn tại các nơi công cộng, công sở, điểm du lịch, khu du lịch để hướng dẫn khách du lịch, cộng đồng dân cư thực hiện các quy định.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In và phát hành các ấn phẩm quảng bá về Bộ Quy tắc với nội dung phù hợp với từng đối tượng như: tập gấp, pano, áp phích, khẩu hiệu, tài liệu tuyên truyền,...và phát hành sổ tay Bộ Quy tắc ứng xử. Biên tập Bộ Quy tắc bằng văn bản ngắn gọn, dễ hiểu, dễ nhớ, dễ thực hiện (các nội dung tuyên truyền về Bộ Quy tắc được thể hiện bằng 03 ngôn ngữ tiếng Việt, tiếng Anh và tiếng Trung) để tuyên truyền, quảng bá tại các nơi công cộng, cảng tàu, nhà ga, cửa khẩu, điểm vui chơi, các khu, điểm du lịch, khu di tích danh thắng và các cơ sở tôn giáo, tín ngưỡng, tại các nhà văn hóa thôn, khu, xã, phường, thị trấn, trường học, công sở, xí nghiệp, khách sạn, nhà hàng, cơ sở dịch vụ để tuyên truyền đến mọi tầng lớp nhân dân, tăng cường hiệu quả tiếp cận của Bộ Quy tắc đối với du khách và người dân địa phương.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xml:space="preserve">- Sáng tác các tác phẩm văn học - nghệ thuật như: hội họa, âm nhạc, sách, truyện ngắn,...tuyên truyền về Bộ Quy tắc ứng xử, trong đó tập trung xây dựng chùm tiểu phẩm </w:t>
      </w:r>
      <w:r w:rsidRPr="00083F99">
        <w:rPr>
          <w:rFonts w:eastAsia="Times New Roman" w:cs="Times New Roman"/>
          <w:color w:val="000000"/>
          <w:sz w:val="26"/>
          <w:szCs w:val="26"/>
          <w:lang w:val="vi-VN"/>
        </w:rPr>
        <w:lastRenderedPageBreak/>
        <w:t>kịch ngắn để biểu diễn phục vụ nhân dân, khách du lịch, học sinh, sinh viên, đặc biệt là tuyên truyền phục vụ tại các vùng sâu, vùng đồng bào dân tộc.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Thường xuyên tổ chức các cuộc thi, tuyên truyền Bộ Quy tắc ứng xử bằng các hình thức sân khấu hóa (Hội thi tuyên truyền Quy tắc ứng xử nơi công cộng, Hội thi ứng xử thanh lịch, văn minh,...).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1.3. Tuyên truyền nâng cao nhận thức về thực hiện Bộ Quy tắc ứng xử trong trường học: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Các cơ sở giáo dục, cơ sở giáo dục nghề nghiệp trên địa bàn tỉnh xây dựng kế hoạch thực hiện Bộ Quy tắc ứng xử trong trường học. Các trường có trách nhiệm quán triệt đến toàn thể cán bộ quản lý, nhà giáo, nhân viên, học sinh, sinh viên, học viên biết và thực hiện Bộ Quy tắc ứng xử.</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Bộ Quy tắc ứng xử phải được niêm yết tại các bảng tin, bảng thông báo, website nhà trường, trong phòng học, phòng làm việc và được gửi tới từng thành viên nhà trường qua hệ thống email, hệ thống liên lạc điện tử.</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1.4. Tổ chức tuyên truyền phát động trong cộng đồng dân cư:</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Tổ chức tuyên truyền và vận động các gia đình, dòng họ, tổ dân, khu phố, cộng đồng dân cư, các tổ chức chính trị xã hội, các cơ sở kinh doanh dịch vụ triển khai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Lồng ghép nội dung Bộ Quy tắc vào các chương trình sinh hoạt chi bộ, các cuộc họp tổ dân, khu phố, các buổi sinh hoạt thường kỳ của các tổ chức đoàn thể, chính trị xã hội, các bộ phận công tác trong các cơ sở kinh doanh du lịch với các hình thức phù hợp.</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Tổ chức chương trình phát động và ký cam kết thi đua trong việc thực hiện Bộ Quy tắc; gắn việc thực hiện Bộ Quy tắc vào tiêu chí xét chọn các danh hiệu làng, khu phố, gia đình văn hóa.</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6" w:name="dieu_2"/>
      <w:r w:rsidRPr="00083F99">
        <w:rPr>
          <w:rFonts w:eastAsia="Times New Roman" w:cs="Times New Roman"/>
          <w:b/>
          <w:bCs/>
          <w:color w:val="000000"/>
          <w:sz w:val="26"/>
          <w:szCs w:val="26"/>
          <w:lang w:val="vi-VN"/>
        </w:rPr>
        <w:t>2. Lồng ghép nội dung Bộ Quy tắc vào các hoạt động cụ thể của các cấp, các ngành, đơn vị và địa phương</w:t>
      </w:r>
      <w:bookmarkEnd w:id="6"/>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2.1. Lồng ghép vào các Chương trình tập huấn, các Hội thi, Hội diễn, các phong trào có liên quan trên địa bàn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Các Sở, ban, ngành, các tổ chức chính trị, xã hội, nghề nghiệp từ tỉnh đến cơ sở, Ủy ban nhân dân các huyện, thị xã, thành phố, các cơ quan, đơn vị, các doanh nghiệp trên địa bàn gắn nội dung của Bộ Quy tắc vào các cuộc thi, chương trình tập huấn, các phong trào và chương trình có liên quan để tuyên truyền nội dung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2.2. Gắn vào Chương trình học tập của học sinh, sinh viên: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Các trường phổ thông, trường dạy nghề, trường cao đẳng, đại học trên địa bàn tỉnh tổ chức lồng ghép nội dung của Bộ Quy tắc vào các chuyên đê cho học sinh và sinh viên.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Cán bộ quản lý, nhà giáo, nhân viên, cán bộ Đoàn, Hội, Đội, Công đoàn nhà trường lồng ghép phổ biến, quán triệt nội dung Bộ Quy tắc ứng xử trong trường học trong một số hoạt động giáo dục ngoài giờ lên lớp.</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2.3. Phổ biến, quán triệt các cơ quan quản lý nhà nước, các đơn vị liên quan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Tổ chức tuyên truyền, phổ biến và yêu cầu cán bộ, công chức, viên chức, người lao động trong các cơ quan, đơn vị, doanh nghiệp trên địa bàn toàn tỉnh nghiêm túc triển khai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7" w:name="dieu_3"/>
      <w:r w:rsidRPr="00083F99">
        <w:rPr>
          <w:rFonts w:eastAsia="Times New Roman" w:cs="Times New Roman"/>
          <w:b/>
          <w:bCs/>
          <w:color w:val="000000"/>
          <w:sz w:val="26"/>
          <w:szCs w:val="26"/>
          <w:lang w:val="vi-VN"/>
        </w:rPr>
        <w:t>3. Đánh giá kết quả thực hiện các nội dung của Bộ Quy tắc</w:t>
      </w:r>
      <w:bookmarkEnd w:id="7"/>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3.1. Kiểm tra, giám sát:</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xml:space="preserve">- Tăng cường công tác kiểm tra, giám sát các cơ quan, đơn vị, địa phương trong công tác xây dựng kế hoạch, tổ chức triển khai thực hiện Bộ quy tắc tại cơ quan, đơn vị, địa </w:t>
      </w:r>
      <w:r w:rsidRPr="00083F99">
        <w:rPr>
          <w:rFonts w:eastAsia="Times New Roman" w:cs="Times New Roman"/>
          <w:color w:val="000000"/>
          <w:sz w:val="26"/>
          <w:szCs w:val="26"/>
          <w:lang w:val="vi-VN"/>
        </w:rPr>
        <w:lastRenderedPageBreak/>
        <w:t>phương; kết quả triển khai thực hiện Bộ quy tắc được đánh giá hoàn thành trong nhiệm vụ hằng năm của cơ quan, đơn vị, địa phương.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 Tăng cường giám sát, kịp thời xử lý phản ánh những cá nhân, tập thể chưa thực hiện tốt Bộ Quy tắc; xử phạt nghiêm minh đối với các hành vi vi phạm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3.2. Biểu dương các tổ chức, cá nhân có thành tích xuất sắc và phê phán các tổ chức, cá nhân vi phạm các nội dung của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Định kỳ hàng năm hoặc đột xuất, tổ chức biểu dương các tổ chức, cá nhân làm tốt, có những sáng kiến, giải pháp trong việc thực hiện Bộ Quy tắc; phê phán, kiểm điểm các tổ chức, cá nhân làm ảnh hưởng đến hình ảnh, truyền thống văn hóa tốt đẹp của người Quảng Ninh. Việc biểu dương hoặc phê phán được công bố công khai trên các phương tiện thông tin đại chúng.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i/>
          <w:iCs/>
          <w:color w:val="000000"/>
          <w:sz w:val="26"/>
          <w:szCs w:val="26"/>
          <w:lang w:val="vi-VN"/>
        </w:rPr>
        <w:t>3.3. Lựa chọn một số đơn vị tiêu biểu để làm mô hình thực hiện: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Lựa chọn một số trường học, khu dân cư tiêu biểu làm mô hình điểm trong việc thực hiện Bộ Quy tắc. Trên cơ sở kết quả thực hiện, nhân rộng mô hình, cách làm nhằm thúc đẩy các trường học, địa phương có thêm sáng kiến, bồi đắp những giá trị tốt đẹp, lối sống vì cộng đồng, tạo đà cho nếp sống văn hóa lan tỏa hơn nữa trong đời sống.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8" w:name="dieu_4"/>
      <w:r w:rsidRPr="00083F99">
        <w:rPr>
          <w:rFonts w:eastAsia="Times New Roman" w:cs="Times New Roman"/>
          <w:b/>
          <w:bCs/>
          <w:color w:val="000000"/>
          <w:sz w:val="26"/>
          <w:szCs w:val="26"/>
          <w:lang w:val="vi-VN"/>
        </w:rPr>
        <w:t>4. Tổ chức sơ kết, chế độ báo cáo:</w:t>
      </w:r>
      <w:bookmarkEnd w:id="8"/>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lang w:val="vi-VN"/>
        </w:rPr>
        <w:t>Các sở, ban, ngành, đoàn thể, Ủy ban nhân dân các huyện, thị xã, thành phố cần sơ kết hàng năm kết quả triển khai Bộ Quy tắc để đánh giá những mặt làm được và những hạn chế, tồn tại về kết quả thực hiện các nhiệm vụ được giao báo cáo Ủy ban nhân dân tỉnh (qua Sở Văn hóa và Thể thao) để tổng hợp chung.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9" w:name="muc_4"/>
      <w:r w:rsidRPr="00083F99">
        <w:rPr>
          <w:rFonts w:eastAsia="Times New Roman" w:cs="Times New Roman"/>
          <w:b/>
          <w:bCs/>
          <w:color w:val="000000"/>
          <w:sz w:val="26"/>
          <w:szCs w:val="26"/>
        </w:rPr>
        <w:t>IV. THỜI GIAN TRIỂN KHAI THỰC HIỆN:</w:t>
      </w:r>
      <w:bookmarkEnd w:id="9"/>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Thường xuyên, bắt đầu từ Quý III/2020 (Giai đoạn 1: Năm 2020 - 2022; Giai đoạn 2: Năm 2023 - 2025).</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Tổng kết, đánh giá giai đoạn 2020-2025: Năm 2025.</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10" w:name="muc_5"/>
      <w:r w:rsidRPr="00083F99">
        <w:rPr>
          <w:rFonts w:eastAsia="Times New Roman" w:cs="Times New Roman"/>
          <w:b/>
          <w:bCs/>
          <w:color w:val="000000"/>
          <w:sz w:val="26"/>
          <w:szCs w:val="26"/>
        </w:rPr>
        <w:t>V. TỔ CHỨC THỰC HIỆN</w:t>
      </w:r>
      <w:bookmarkEnd w:id="10"/>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1. Sở Văn hóa và Thể thao:</w:t>
      </w:r>
      <w:r w:rsidRPr="00083F99">
        <w:rPr>
          <w:rFonts w:eastAsia="Times New Roman" w:cs="Times New Roman"/>
          <w:color w:val="000000"/>
          <w:sz w:val="26"/>
          <w:szCs w:val="26"/>
        </w:rPr>
        <w:t> cơ quan thường trực theo dõi, kiểm tra, đôn đốc, giám sát việc thực hiện Kế hoạch; tổng hợp, đề xuất khen thưởng đối với các tổ chức, cá nhân có thành tích xuất sắc trong việc đóng góp cho công tác triển khai thực hiện Bộ Quy tắc và tổng hợp báo cáo Ủy ban nhân dân tỉnh về kết quả triển khai thực hiện Kế hoạch này.</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Chủ trì thực hiện nội dung tuyên truyền cổ động trực quan bao gồm thiết kế ma két, thiết kế hình ảnh hóa, in và cấp phát tập gấp, tờ rơi, áp phích, khẩu hiệu (số lượng mẫu),...cho các cơ quan, đơn vị, trường học, huyện, thị, xã, thành phố để thực hiện tuyên truyền, hoàn thành trước ngày 30/7/2020.</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Biên soạn nội dung khẩu hiệu tuyên truyền cổ động trực quan gửi các sở, ban, ngành, địa phương, hoàn thành trước ngày 30/7/2020.</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Biên tập và phát hành sổ tay Bộ Quy tắc tới tất cả huyện, thị xã, thành phố, xã, phường, thị trấn và các cơ quan, công sở trên địa bàn tỉnh, hoàn thành trong Quý IV/2020.</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Từ năm 2021, xây dựng từ 01 - 02 vở kịch ngắn có nội dung tuyên truyền về Bộ Quy tắc gắn với các hoạt động truyền thông về công tác gia đình, để biểu diễn phục vụ nhân dân, khách du lịch, học sinh, sinh viên, đặc biệt là tuyên truyền phục vụ tại các vùng sâu, vùng đồng bào dân tộc.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2. Sở Thông tin và Truyền thông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Hướng dẫn, đôn đốc các cơ quan báo chí trong, ngoài tỉnh và hệ thống thông tin cơ sở đẩy mạnh công tác tuyên truyền, phổ biến sâu rộng Bộ Quy tắc tới cán bộ, nhân dân trong toàn tỉnh để biết và cùng giám sát việc thực hiện; phát hiện, cổ vũ, động viên những tập thể, cá nhân thực hiện tốt; phê phán các tập thể, cá nhân vi phạm.</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3. Sở Du lịch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lastRenderedPageBreak/>
        <w:t>Chủ trì, phối hợp với Hiệp hội Du lịch Quảng Ninh và các cơ quan, đơn vị có liên quan phổ biến tuyên truyền Bộ Quy tắc đến các cơ sở kinh doanh du lịch, khách sạn, nhà hàng từng bước hình thành thói quen, hành vi ứng xử văn minh, thái độ lịch sự, thân thiện của đội ngũ cán bộ - công chức làm việc trong ngành du lịch và các ngành liên quan đến hoạt động du lịch, đội ngũ quản lý và nhân viên các doanh nghiệp hoạt động kinh doanh dịch vụ du lịch.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4. Sở Nội vụ</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Tổ chức tuyên truyền, phổ biến và yêu cầu cán bộ, công chức, viên chức, người lao động trong các cơ quan, đơn vị, doanh nghiệp trên địa bàn toàn tỉnh nghiêm túc triển khai thực hiện Bộ Quy tắc. Lồng ghép kiểm tra việc triển khai thực hiện niêm yết Bộ Quy tắc tại công sở với kiểm tra công vụ tại các cơ quan, đơn vị hàng năm.</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5. Sở Giáo dục và Đào tạo, Sở Lao động Thương binh và xã hội, trường Đại học Hạ Long, trường Đào tạo cán bộ Nguyễn Văn Cừ</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Tuyên truyền nâng cao nhận thức về thực hiện Bộ Quy tắc ứng xử trong trường học; nghiên cứu, lồng ghép các nội dung Bộ Quy tắc ứng xử để tuyên truyền cho các em học sinh, sinh viên, học viên đang sinh sống, học tập trên địa bàn tỉnh Quảng Ninh.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Sở Giáo dục và Đào tạo chủ trì, phối hợp với các đơn vị, địa phương lựa chọn từ 02 - 03 trường (TH, THCS, THPT) mô hình điểm trong việc thực hiện Bộ Quy tắc trong năm học 2020 - 2021, sau đó nhân rộng ra các năm học tiếp theo; Tổ chức Hội thi với chủ đề về Bộ Quy tắc ứng xử trong trường học cho đối tượng học sinh, sinh viên dưới hình thức sân khấu hóa.</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Hàng năm tổng kết năm học, kiểm tra, đánh giá kết quả việc đưa nội dung của Bộ Quy tắc vào trong hoạt động giáo dục của nhà trường.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6. Sở Tài chính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Cân đối, tham mưu, đề xuất, báo cáo Ủy ban nhân dân tỉnh bố trí các nguồn kinh phí để triển khai thực hiện Bộ Quy tắc đảm bảo thiết thực, hiệu quả, tạo hiệu ứng tốt trong cộng đồng.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7. Trung tâm Truyền thông tỉnh, Hội Nhà báo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Chủ trì, phối hợp với Sở Văn hóa và Thể thao và các cơ quan liên quan tổ chức việc tuyên truyền, phổ biến Bộ Quy tắc; thường xuyên đăng tải các tin, bài, video clip trên các phương tiện truyền thông về việc thực hiện Bộ Quy tắc trên địa bàn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Thông tin về Bộ Quy tắc đến các phóng viên, cơ quan báo chí của tỉnh và trung ương trên địa bàn tỉnh thông qua hoạt động quảng bá trực tuyến và truyền thông.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Hàng năm, xây dựng các chuyên đề, phóng sự, clip tuyên truyền trên các hạ tầng truyền hình, phát thanh, báo điện tử, báo in phản ánh về kết quả triển khai thực hiện Bộ Quy tắc của các cơ quan, đơn vị, địa phương.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8. Hội Văn học Nghệ thuật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Phát động sáng tác các tác phẩm văn học nghệ thuật về chủ đề Bộ Quy tắc ứng xử lồng ghép với các cuộc thi sáng tác văn học nghệ thuật của tỉnh hàng năm.</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9. Các sở, ban, ngành, đơn vị lực lượng vũ trang trên địa bàn tỉnh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Theo chức năng nhiệm vụ phối hợp triển khai các hoạt động liên quan trong Kế hoạch; lồng ghép đưa nội dung Bộ Quy tắc vào các chương trình, kế hoạch tuyên truyền, hoạt động của cơ quan, đơn vị mình góp phần xây dựng hành vi, thái độ, cách ứng xử văn minh lịch sự với các tổ chức, cá nhân.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10. Đề nghị Ủy ban Mặt trận Tổ quốc tỉnh và các tổ chức chính trị - xã hội</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Tổ chức vận động, tuyên truyền, khuyến khích, kiểm tra, giám sát đoàn viên, hội viên và nhân dân thực hiện tốt Bộ Quy tắc ứng xử.</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lastRenderedPageBreak/>
        <w:t>- Tỉnh đoàn Quảng Ninh chủ trì, phối hợp với Sở Giáo dục và Đào tạo triển khai các nội dung tuyên truyền, bồi dưỡng nâng cao năng lực, kiến thức về Quy tắc ứng xử đối với cán Đoàn, Hội, Đội, đoàn viên thanh niên, trẻ em và cộng đồng về nội dung Bộ Quy tắc; lồng ghép nội dung Bộ Quy tắc ứng xử vào hoạt động của Cung Văn hóa, Thanh thiếu nhi Quảng Ninh, hướng dẫn và tổ chức các hoạt động vui chơi, giải trí an toàn, lành mạnh cho thanh thiếu nhi.</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b/>
          <w:bCs/>
          <w:color w:val="000000"/>
          <w:sz w:val="26"/>
          <w:szCs w:val="26"/>
        </w:rPr>
        <w:t>11. Ủy ban nhân dân các huyện, thị xã, thành phố</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Xây dựng Kế hoạch triển khai thực hiện Bộ Quy tắc đến các cơ quan, đơn vị, doanh nghiệp, trường học trên địa bàn quản lý. Lồng ghép nội dung Bộ Quy tắc trong thực hiện Quy ước khu dân cư, phong trào Toàn dân đoàn kết xây dựng đời sống văn hóa.</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Tổ chức chương trình phát động và ký cam kết thi đua trong việc thực hiện Bộ Quy tắc, hoàn thành trong Quý I/2021.</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Lựa chọn từ 01 - 02 mô hình mẫu trong việc thực hiện Bộ Quy tắc (thực hiện từ Quý III/2020) sau đó nhân rộng ra các năm tiếp theo trên địa bàn địa phương đảm bảo chỉ tiêu kế hoạch.</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Tuyên truyền Bộ Quy tắc đến các cán bộ, công chức, viên chức, người lao động và các gia đình, dòng họ, cộng đồng dân cư, các tổ chức, cá nhân, khách du lịch trên địa bàn biết, thực hiện.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Đưa chủ đề Bộ Quy tắc ứng xử vào các cuộc thi, hội diễn, liên hoan cấp huyện, cấp xã hàng năm bằng các hình thức sân khấu hóa (hùng biện, màn chào hỏi, tiểu phẩm, kịch ngắn,...).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Tiếp nhận ma két mẫu các pano, áp phích, khẩu hiệu, hình ảnh, tập gấp, tài liệu tuyên truyền Bộ Quy tắc từ Sở Văn hóa và Thể thao và thực hiện nhân bản để gắn tại các nơi công cộng, cảng tàu, nhà ga, cửa khẩu, điểm vui chơi, các khu, điểm du lịch, khu di tích danh thắng và các cơ sở tôn giáo, tín ngưỡng, tại các nhà văn hóa thôn, khu, xã, phường, trường học, công sở, xí nghiệp, khách sạn, nhà hàng, cơ sở dịch vụ để tuyên truyền đến mọi tầng lớp nhân dân và du khách, tạo sự lan tỏa rộng rãi trong cộng đồng.</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Tổ chức phát động vẽ bích họa, tranh tường tuyên truyền các nội dung Bộ Quy tắc tại các Nhà Văn hóa thôn, khu, trường h</w:t>
      </w:r>
      <w:bookmarkStart w:id="11" w:name="_GoBack"/>
      <w:bookmarkEnd w:id="11"/>
      <w:r w:rsidRPr="00083F99">
        <w:rPr>
          <w:rFonts w:eastAsia="Times New Roman" w:cs="Times New Roman"/>
          <w:color w:val="000000"/>
          <w:sz w:val="26"/>
          <w:szCs w:val="26"/>
        </w:rPr>
        <w:t>ọc, các nơi công cộng,... (sau khi có ma két mẫu của Sở Văn hóa và Thể thao cung cấp).</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Thường xuyên kiểm tra, chấn chỉnh đối với các tổ chức, cá nhân có hành vi vi phạm bộ Quy tắc; biểu dương, khen thưởng kịp thời có những sáng kiến, giải pháp trong việc thực hiện Bộ Quy tắc.</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Cung cấp số điện thoại đường dây nóng tại công sở, đơn vị để người dân dễ dàng nêu ý kiến phản ánh để các đơn vị, địa phương chấn chỉnh kịp thời.</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Định kỳ 6 tháng (trước ngày 30/6) và h</w:t>
      </w:r>
      <w:r w:rsidRPr="00083F99">
        <w:rPr>
          <w:rFonts w:eastAsia="Times New Roman" w:cs="Times New Roman"/>
          <w:color w:val="000000"/>
          <w:sz w:val="26"/>
          <w:szCs w:val="26"/>
          <w:lang w:val="en-GB"/>
        </w:rPr>
        <w:t>ằ</w:t>
      </w:r>
      <w:r w:rsidRPr="00083F99">
        <w:rPr>
          <w:rFonts w:eastAsia="Times New Roman" w:cs="Times New Roman"/>
          <w:color w:val="000000"/>
          <w:sz w:val="26"/>
          <w:szCs w:val="26"/>
        </w:rPr>
        <w:t>ng năm (trước ngày 15/12) báo cáo Ủy ban nhân dân tỉnh về kết quả thực hiện các nhiệm vụ được giao (qua Sở Văn hóa và Thể thao).</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bookmarkStart w:id="12" w:name="muc_6"/>
      <w:r w:rsidRPr="00083F99">
        <w:rPr>
          <w:rFonts w:eastAsia="Times New Roman" w:cs="Times New Roman"/>
          <w:b/>
          <w:bCs/>
          <w:color w:val="000000"/>
          <w:sz w:val="26"/>
          <w:szCs w:val="26"/>
        </w:rPr>
        <w:t>VI. KINH PHÍ THỰC HIỆN</w:t>
      </w:r>
      <w:bookmarkEnd w:id="12"/>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Kinh phí triển khai thực hiện Bộ Quy tắc ứng xử trên địa bàn tỉnh Quảng Ninh do các sở, ban, ngành, đơn vị, địa phương cân đối các nguồn kinh phí được giao hàng năm và huy động các nguồn xã hội hóa để thực hiện.</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Trên đây là Kế hoạch triển khai thực hiện Bộ Quy tắc ứng xử trên địa bàn tỉnh Quảng Ninh. Yêu cầu các sở, ban, ngành, Ủy ban nhân dân các huyện, thị xã, thành phố nghiêm túc triển khai thực hiện. Trong quá trình triển khai thực hiện nếu có khó khăn, vướng mắc, đề nghị gửi văn bản về Sở Văn hóa và Thể thao để tổng hợp, tham mưu, đề xuất, báo cáo Ủy ban nhân dân tỉnh chỉ đạo kịp thời./.</w:t>
      </w:r>
    </w:p>
    <w:p w:rsidR="00083F99" w:rsidRPr="00083F99" w:rsidRDefault="00083F99" w:rsidP="000E4702">
      <w:pPr>
        <w:shd w:val="clear" w:color="auto" w:fill="FFFFFF"/>
        <w:spacing w:after="0" w:line="240" w:lineRule="auto"/>
        <w:jc w:val="both"/>
        <w:rPr>
          <w:rFonts w:eastAsia="Times New Roman" w:cs="Times New Roman"/>
          <w:color w:val="000000"/>
          <w:sz w:val="26"/>
          <w:szCs w:val="26"/>
        </w:rPr>
      </w:pPr>
      <w:r w:rsidRPr="00083F99">
        <w:rPr>
          <w:rFonts w:eastAsia="Times New Roman" w:cs="Times New Roman"/>
          <w:color w:val="00000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83F99" w:rsidRPr="00083F99" w:rsidTr="00083F99">
        <w:trPr>
          <w:tblCellSpacing w:w="0" w:type="dxa"/>
        </w:trPr>
        <w:tc>
          <w:tcPr>
            <w:tcW w:w="4428" w:type="dxa"/>
            <w:shd w:val="clear" w:color="auto" w:fill="FFFFFF"/>
            <w:tcMar>
              <w:top w:w="0" w:type="dxa"/>
              <w:left w:w="108" w:type="dxa"/>
              <w:bottom w:w="0" w:type="dxa"/>
              <w:right w:w="108" w:type="dxa"/>
            </w:tcMar>
            <w:hideMark/>
          </w:tcPr>
          <w:p w:rsidR="00083F99" w:rsidRPr="00083F99" w:rsidRDefault="00083F99" w:rsidP="000E4702">
            <w:pPr>
              <w:spacing w:after="0" w:line="240" w:lineRule="auto"/>
              <w:rPr>
                <w:rFonts w:eastAsia="Times New Roman" w:cs="Times New Roman"/>
                <w:color w:val="000000"/>
                <w:sz w:val="26"/>
                <w:szCs w:val="26"/>
              </w:rPr>
            </w:pPr>
            <w:r w:rsidRPr="00083F99">
              <w:rPr>
                <w:rFonts w:eastAsia="Times New Roman" w:cs="Times New Roman"/>
                <w:color w:val="000000"/>
                <w:sz w:val="26"/>
                <w:szCs w:val="26"/>
              </w:rPr>
              <w:lastRenderedPageBreak/>
              <w:br/>
            </w:r>
            <w:r w:rsidRPr="00083F99">
              <w:rPr>
                <w:rFonts w:eastAsia="Times New Roman" w:cs="Times New Roman"/>
                <w:b/>
                <w:bCs/>
                <w:i/>
                <w:iCs/>
                <w:color w:val="000000"/>
                <w:sz w:val="26"/>
                <w:szCs w:val="26"/>
              </w:rPr>
              <w:t>Nơi nhận:</w:t>
            </w:r>
            <w:r w:rsidRPr="00083F99">
              <w:rPr>
                <w:rFonts w:eastAsia="Times New Roman" w:cs="Times New Roman"/>
                <w:b/>
                <w:bCs/>
                <w:i/>
                <w:iCs/>
                <w:color w:val="000000"/>
                <w:sz w:val="26"/>
                <w:szCs w:val="26"/>
              </w:rPr>
              <w:br/>
            </w:r>
            <w:r w:rsidRPr="00083F99">
              <w:rPr>
                <w:rFonts w:eastAsia="Times New Roman" w:cs="Times New Roman"/>
                <w:color w:val="000000"/>
                <w:sz w:val="26"/>
                <w:szCs w:val="26"/>
              </w:rPr>
              <w:t>- TT.Tỉnh ủy, TT.HĐND tỉnh (báo cáo);</w:t>
            </w:r>
            <w:r w:rsidRPr="00083F99">
              <w:rPr>
                <w:rFonts w:eastAsia="Times New Roman" w:cs="Times New Roman"/>
                <w:color w:val="000000"/>
                <w:sz w:val="26"/>
                <w:szCs w:val="26"/>
              </w:rPr>
              <w:br/>
              <w:t>- Chủ tịch, các PCT. UBND tỉnh;</w:t>
            </w:r>
            <w:r w:rsidRPr="00083F99">
              <w:rPr>
                <w:rFonts w:eastAsia="Times New Roman" w:cs="Times New Roman"/>
                <w:color w:val="000000"/>
                <w:sz w:val="26"/>
                <w:szCs w:val="26"/>
              </w:rPr>
              <w:br/>
              <w:t>- Các Sở, ban, ngành, đoàn thể, hội thuộc tỉnh;</w:t>
            </w:r>
            <w:r w:rsidRPr="00083F99">
              <w:rPr>
                <w:rFonts w:eastAsia="Times New Roman" w:cs="Times New Roman"/>
                <w:color w:val="000000"/>
                <w:sz w:val="26"/>
                <w:szCs w:val="26"/>
              </w:rPr>
              <w:br/>
              <w:t>- Công an tỉnh, BCHQS tỉnh, BCH BĐBP tỉnh;</w:t>
            </w:r>
            <w:r w:rsidRPr="00083F99">
              <w:rPr>
                <w:rFonts w:eastAsia="Times New Roman" w:cs="Times New Roman"/>
                <w:color w:val="000000"/>
                <w:sz w:val="26"/>
                <w:szCs w:val="26"/>
              </w:rPr>
              <w:br/>
              <w:t>- Cục Quản lý thị trường tỉnh;</w:t>
            </w:r>
            <w:r w:rsidRPr="00083F99">
              <w:rPr>
                <w:rFonts w:eastAsia="Times New Roman" w:cs="Times New Roman"/>
                <w:color w:val="000000"/>
                <w:sz w:val="26"/>
                <w:szCs w:val="26"/>
              </w:rPr>
              <w:br/>
              <w:t>- Công ty Điện lực Quảng Ninh, Công ty CP Nước sạch Quảng Ninh;</w:t>
            </w:r>
            <w:r w:rsidRPr="00083F99">
              <w:rPr>
                <w:rFonts w:eastAsia="Times New Roman" w:cs="Times New Roman"/>
                <w:color w:val="000000"/>
                <w:sz w:val="26"/>
                <w:szCs w:val="26"/>
              </w:rPr>
              <w:br/>
              <w:t>- UBND các huyện, thị xã, thành phố;</w:t>
            </w:r>
            <w:r w:rsidRPr="00083F99">
              <w:rPr>
                <w:rFonts w:eastAsia="Times New Roman" w:cs="Times New Roman"/>
                <w:color w:val="000000"/>
                <w:sz w:val="26"/>
                <w:szCs w:val="26"/>
              </w:rPr>
              <w:br/>
              <w:t>- Tập đoàn CN Than - KS Việt Nam;</w:t>
            </w:r>
            <w:r w:rsidRPr="00083F99">
              <w:rPr>
                <w:rFonts w:eastAsia="Times New Roman" w:cs="Times New Roman"/>
                <w:color w:val="000000"/>
                <w:sz w:val="26"/>
                <w:szCs w:val="26"/>
              </w:rPr>
              <w:br/>
              <w:t>- Tổng Công ty Đông Bắc;</w:t>
            </w:r>
            <w:r w:rsidRPr="00083F99">
              <w:rPr>
                <w:rFonts w:eastAsia="Times New Roman" w:cs="Times New Roman"/>
                <w:color w:val="000000"/>
                <w:sz w:val="26"/>
                <w:szCs w:val="26"/>
              </w:rPr>
              <w:br/>
              <w:t>- V0, V1-4, VX1-4, GD;</w:t>
            </w:r>
            <w:r w:rsidRPr="00083F99">
              <w:rPr>
                <w:rFonts w:eastAsia="Times New Roman" w:cs="Times New Roman"/>
                <w:color w:val="000000"/>
                <w:sz w:val="26"/>
                <w:szCs w:val="26"/>
              </w:rPr>
              <w:br/>
              <w:t>- Lưu: VT, VX1.</w:t>
            </w:r>
            <w:r w:rsidRPr="00083F99">
              <w:rPr>
                <w:rFonts w:eastAsia="Times New Roman" w:cs="Times New Roman"/>
                <w:color w:val="000000"/>
                <w:sz w:val="26"/>
                <w:szCs w:val="26"/>
              </w:rPr>
              <w:br/>
              <w:t>20b-KH07</w:t>
            </w:r>
          </w:p>
        </w:tc>
        <w:tc>
          <w:tcPr>
            <w:tcW w:w="4428" w:type="dxa"/>
            <w:shd w:val="clear" w:color="auto" w:fill="FFFFFF"/>
            <w:tcMar>
              <w:top w:w="0" w:type="dxa"/>
              <w:left w:w="108" w:type="dxa"/>
              <w:bottom w:w="0" w:type="dxa"/>
              <w:right w:w="108" w:type="dxa"/>
            </w:tcMar>
            <w:hideMark/>
          </w:tcPr>
          <w:p w:rsidR="00083F99" w:rsidRPr="00083F99" w:rsidRDefault="00083F99" w:rsidP="000E4702">
            <w:pPr>
              <w:spacing w:after="0" w:line="240" w:lineRule="auto"/>
              <w:jc w:val="center"/>
              <w:rPr>
                <w:rFonts w:eastAsia="Times New Roman" w:cs="Times New Roman"/>
                <w:color w:val="000000"/>
                <w:sz w:val="26"/>
                <w:szCs w:val="26"/>
              </w:rPr>
            </w:pPr>
            <w:r w:rsidRPr="00083F99">
              <w:rPr>
                <w:rFonts w:eastAsia="Times New Roman" w:cs="Times New Roman"/>
                <w:b/>
                <w:bCs/>
                <w:color w:val="000000"/>
                <w:sz w:val="26"/>
                <w:szCs w:val="26"/>
              </w:rPr>
              <w:t>TM. ỦY BAN NHÂN DÂN</w:t>
            </w:r>
            <w:r w:rsidRPr="00083F99">
              <w:rPr>
                <w:rFonts w:eastAsia="Times New Roman" w:cs="Times New Roman"/>
                <w:b/>
                <w:bCs/>
                <w:color w:val="000000"/>
                <w:sz w:val="26"/>
                <w:szCs w:val="26"/>
              </w:rPr>
              <w:br/>
              <w:t>KT. CHỦ TỊCH</w:t>
            </w:r>
            <w:r w:rsidRPr="00083F99">
              <w:rPr>
                <w:rFonts w:eastAsia="Times New Roman" w:cs="Times New Roman"/>
                <w:b/>
                <w:bCs/>
                <w:color w:val="000000"/>
                <w:sz w:val="26"/>
                <w:szCs w:val="26"/>
              </w:rPr>
              <w:br/>
              <w:t>PHÓ CHỦ TỊCH</w:t>
            </w:r>
            <w:r w:rsidRPr="00083F99">
              <w:rPr>
                <w:rFonts w:eastAsia="Times New Roman" w:cs="Times New Roman"/>
                <w:b/>
                <w:bCs/>
                <w:color w:val="000000"/>
                <w:sz w:val="26"/>
                <w:szCs w:val="26"/>
              </w:rPr>
              <w:br/>
            </w:r>
            <w:r w:rsidRPr="00083F99">
              <w:rPr>
                <w:rFonts w:eastAsia="Times New Roman" w:cs="Times New Roman"/>
                <w:b/>
                <w:bCs/>
                <w:color w:val="000000"/>
                <w:sz w:val="26"/>
                <w:szCs w:val="26"/>
              </w:rPr>
              <w:br/>
            </w:r>
            <w:r w:rsidRPr="00083F99">
              <w:rPr>
                <w:rFonts w:eastAsia="Times New Roman" w:cs="Times New Roman"/>
                <w:b/>
                <w:bCs/>
                <w:color w:val="000000"/>
                <w:sz w:val="26"/>
                <w:szCs w:val="26"/>
              </w:rPr>
              <w:br/>
            </w:r>
            <w:r w:rsidRPr="00083F99">
              <w:rPr>
                <w:rFonts w:eastAsia="Times New Roman" w:cs="Times New Roman"/>
                <w:b/>
                <w:bCs/>
                <w:color w:val="000000"/>
                <w:sz w:val="26"/>
                <w:szCs w:val="26"/>
              </w:rPr>
              <w:br/>
            </w:r>
            <w:r w:rsidRPr="00083F99">
              <w:rPr>
                <w:rFonts w:eastAsia="Times New Roman" w:cs="Times New Roman"/>
                <w:color w:val="000000"/>
                <w:sz w:val="26"/>
                <w:szCs w:val="26"/>
              </w:rPr>
              <w:t>Đặng Huy Hậu</w:t>
            </w:r>
          </w:p>
        </w:tc>
      </w:tr>
    </w:tbl>
    <w:p w:rsidR="008B405E" w:rsidRPr="00083F99" w:rsidRDefault="008B405E" w:rsidP="000E4702">
      <w:pPr>
        <w:spacing w:after="0" w:line="240" w:lineRule="auto"/>
        <w:rPr>
          <w:rFonts w:cs="Times New Roman"/>
          <w:sz w:val="26"/>
          <w:szCs w:val="26"/>
        </w:rPr>
      </w:pPr>
    </w:p>
    <w:sectPr w:rsidR="008B405E" w:rsidRPr="00083F99"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1D1"/>
    <w:rsid w:val="00083F99"/>
    <w:rsid w:val="000E4702"/>
    <w:rsid w:val="007A25AE"/>
    <w:rsid w:val="008B405E"/>
    <w:rsid w:val="008E5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3BC80"/>
  <w15:chartTrackingRefBased/>
  <w15:docId w15:val="{C1FAE80A-C74D-4E99-8AC0-237718DF7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3F9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2999</Words>
  <Characters>17095</Characters>
  <Application>Microsoft Office Word</Application>
  <DocSecurity>0</DocSecurity>
  <Lines>142</Lines>
  <Paragraphs>40</Paragraphs>
  <ScaleCrop>false</ScaleCrop>
  <Company>Microsoft</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2022-04-12T02:32:00Z</dcterms:created>
  <dcterms:modified xsi:type="dcterms:W3CDTF">2022-04-12T02:35:00Z</dcterms:modified>
</cp:coreProperties>
</file>